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Plus Jakarta Sans" w:hAnsi="Plus Jakarta Sans" w:eastAsia="Plus Jakarta Sans"/>
          <w:b/>
          <w:i w:val="0"/>
          <w:color w:val="173557"/>
        </w:rPr>
        <w:t>Contractor Management Software Rollout Checklist</w:t>
      </w:r>
    </w:p>
    <w:p>
      <w:r>
        <w:rPr>
          <w:b w:val="0"/>
          <w:i w:val="0"/>
          <w:color w:val="2F2F2F"/>
          <w:sz w:val="20"/>
        </w:rPr>
        <w:t>Put a date and a name against every step in week 1. Plan on about 12 to 16 weeks for 100 to 300 contractors: a 2-week pilot, waves of about 40, then the 28-day ladder. Planning assumptions, not measured averages; reset them after the pilot.</w:t>
      </w:r>
    </w:p>
    <w:p>
      <w:r>
        <w:rPr>
          <w:b w:val="0"/>
          <w:i w:val="0"/>
          <w:color w:val="5B6E8A"/>
          <w:sz w:val="17"/>
        </w:rPr>
        <w:t>Companion to How to Implement Contractor Management Software: A Practical Rollout Plan, www.complyflow.com/blog/how-to-implement-contractor-management-software. From ComplyFlow. Version 1.1, October 2026. A planning aid, not legal advice.</w:t>
      </w:r>
    </w:p>
    <w:p>
      <w:pPr>
        <w:pStyle w:val="Heading1"/>
      </w:pPr>
      <w:r>
        <w:t>Plan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5ED"/>
          <w:left w:val="single" w:sz="4" w:space="0" w:color="DCE5ED"/>
          <w:bottom w:val="single" w:sz="4" w:space="0" w:color="DCE5ED"/>
          <w:right w:val="single" w:sz="4" w:space="0" w:color="DCE5ED"/>
          <w:insideH w:val="single" w:sz="4" w:space="0" w:color="DCE5ED"/>
          <w:insideV w:val="single" w:sz="4" w:space="0" w:color="DCE5ED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933"/>
        <w:gridCol w:w="4933"/>
      </w:tblGrid>
      <w:tr>
        <w:tc>
          <w:tcPr>
            <w:tcW w:type="dxa" w:w="5443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4422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Entry</w:t>
            </w:r>
          </w:p>
        </w:tc>
      </w:tr>
      <w:tr>
        <w:trPr>
          <w:cantSplit w:val="true"/>
        </w:trPr>
        <w:tc>
          <w:tcPr>
            <w:tcW w:type="dxa" w:w="5443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Sponsor (decides what happens to a contractor who will not take part)</w:t>
            </w:r>
          </w:p>
        </w:tc>
        <w:tc>
          <w:tcPr>
            <w:tcW w:type="dxa" w:w="4422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[Name]</w:t>
            </w:r>
          </w:p>
        </w:tc>
      </w:tr>
      <w:tr>
        <w:trPr>
          <w:cantSplit w:val="true"/>
        </w:trPr>
        <w:tc>
          <w:tcPr>
            <w:tcW w:type="dxa" w:w="5443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Project owner (one person, protected hours)</w:t>
            </w:r>
          </w:p>
        </w:tc>
        <w:tc>
          <w:tcPr>
            <w:tcW w:type="dxa" w:w="4422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[Name]</w:t>
            </w:r>
          </w:p>
        </w:tc>
      </w:tr>
      <w:tr>
        <w:trPr>
          <w:cantSplit w:val="true"/>
        </w:trPr>
        <w:tc>
          <w:tcPr>
            <w:tcW w:type="dxa" w:w="5443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List owner</w:t>
            </w:r>
          </w:p>
        </w:tc>
        <w:tc>
          <w:tcPr>
            <w:tcW w:type="dxa" w:w="4422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[Name]</w:t>
            </w:r>
          </w:p>
        </w:tc>
      </w:tr>
      <w:tr>
        <w:trPr>
          <w:cantSplit w:val="true"/>
        </w:trPr>
        <w:tc>
          <w:tcPr>
            <w:tcW w:type="dxa" w:w="5443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Reviewers, each with a backup</w:t>
            </w:r>
          </w:p>
        </w:tc>
        <w:tc>
          <w:tcPr>
            <w:tcW w:type="dxa" w:w="4422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[Names]</w:t>
            </w:r>
          </w:p>
        </w:tc>
      </w:tr>
      <w:tr>
        <w:trPr>
          <w:cantSplit w:val="true"/>
        </w:trPr>
        <w:tc>
          <w:tcPr>
            <w:tcW w:type="dxa" w:w="5443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Site champions</w:t>
            </w:r>
          </w:p>
        </w:tc>
        <w:tc>
          <w:tcPr>
            <w:tcW w:type="dxa" w:w="4422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[One per site]</w:t>
            </w:r>
          </w:p>
        </w:tc>
      </w:tr>
      <w:tr>
        <w:trPr>
          <w:cantSplit w:val="true"/>
        </w:trPr>
        <w:tc>
          <w:tcPr>
            <w:tcW w:type="dxa" w:w="5443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Start date and latest exit date</w:t>
            </w:r>
          </w:p>
        </w:tc>
        <w:tc>
          <w:tcPr>
            <w:tcW w:type="dxa" w:w="4422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[DD/MM/YYYY]   [DD/MM/YYYY]</w:t>
            </w:r>
          </w:p>
        </w:tc>
      </w:tr>
    </w:tbl>
    <w:p>
      <w:pPr>
        <w:pStyle w:val="Heading1"/>
      </w:pPr>
      <w:r>
        <w:t>The Seven Steps</w:t>
      </w:r>
    </w:p>
    <w:p>
      <w:pPr>
        <w:pStyle w:val="Heading2"/>
      </w:pPr>
      <w:r>
        <w:t>Step 1: Decide the Scope &amp; Name the Owners</w:t>
      </w:r>
    </w:p>
    <w:p>
      <w:pPr>
        <w:spacing w:after="20"/>
      </w:pPr>
      <w:r>
        <w:rPr>
          <w:b w:val="0"/>
          <w:i/>
          <w:color w:val="5B6E8A"/>
          <w:sz w:val="17"/>
        </w:rPr>
        <w:t>Week 1. Owner: project owner. Done when scope, owners and baseline are written down.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Sites for wave 1 chosen.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Contractor types and tiers in scope chosen.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Stages in scope chosen. Start with prequalification, worker documents and the gate.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Sponsor, project owner, list owner, reviewers and site champions named, with backups.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IT asked about email delivery and sign-in.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Baseline taken: contractors listed; contractors engaged in the last 12 months; hours a week spent chasing documents; expired items found in 20 files picked at random.</w:t>
      </w:r>
    </w:p>
    <w:p>
      <w:pPr>
        <w:pStyle w:val="Heading2"/>
      </w:pPr>
      <w:r>
        <w:t>Step 2: Clean the Contractor List</w:t>
      </w:r>
    </w:p>
    <w:p>
      <w:pPr>
        <w:spacing w:after="20"/>
      </w:pPr>
      <w:r>
        <w:rPr>
          <w:b w:val="0"/>
          <w:i/>
          <w:color w:val="5B6E8A"/>
          <w:sz w:val="17"/>
        </w:rPr>
        <w:t>Weeks 2 to 3. Owner: list owner. Done when every row has an ABN, a tier and a named contact.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One row per legal entity, six columns: legal name, ABN, type of work, sites worked, tier, named contact with email.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Every ABN checked on ABN Lookup (active, name matches). Duplicates merged on the ABN.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Contractors not engaged in the last 12 months moved to an archive tab.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Shared mailboxes replaced with a named person.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Every row tiered. Rows marked "ask" resolved.</w:t>
      </w:r>
    </w:p>
    <w:p>
      <w:pPr>
        <w:pStyle w:val="Heading2"/>
      </w:pPr>
      <w:r>
        <w:t>Step 3: Set Requirements by Contractor Tier</w:t>
      </w:r>
    </w:p>
    <w:p>
      <w:pPr>
        <w:spacing w:after="20"/>
      </w:pPr>
      <w:r>
        <w:rPr>
          <w:b w:val="0"/>
          <w:i/>
          <w:color w:val="5B6E8A"/>
          <w:sz w:val="17"/>
        </w:rPr>
        <w:t>Weeks 3 to 4. Owner: safety lead. Done when each tier is built and tested with nobody attached.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For each tier, three lists written: what the company provides, what each worker provides, what a site adds.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Every item has a checker, a pass rule, an expiry rule and a grace period.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Lowest tier kept to the minimum.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Built with nobody attached, then tested on a dummy supplier.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Reviewer and backup assigned to each document type.</w:t>
      </w:r>
    </w:p>
    <w:p>
      <w:pPr>
        <w:pStyle w:val="Heading2"/>
      </w:pPr>
      <w:r>
        <w:t>Step 4: Invite Contractors in Waves</w:t>
      </w:r>
    </w:p>
    <w:p>
      <w:pPr>
        <w:spacing w:after="20"/>
      </w:pPr>
      <w:r>
        <w:rPr>
          <w:b w:val="0"/>
          <w:i/>
          <w:color w:val="5B6E8A"/>
          <w:sz w:val="17"/>
        </w:rPr>
        <w:t>Pilot weeks 4 to 5; waves from week 6 (to week 8 for 100 contractors, week 13 for 300). Owner: administrator. Done when each wave clears before the next.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Pilot of 5 to 10 contractors across the tiers, including one sole trader working from a phone. Two weeks, starting in week 4.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Pilot findings fixed: requirement wording, time a reviewer takes per pack.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Heads-up sent by a person the contractor already deals with: why, what it takes, the date the gate starts checking, who to call.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Waves of about 40, or fewer if reviewers cannot clear that many in a week. Next wave held until the last is clearing.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Invitation ladder (below) published inside the business.</w:t>
      </w:r>
    </w:p>
    <w:p>
      <w:pPr>
        <w:pStyle w:val="Heading2"/>
      </w:pPr>
      <w:r>
        <w:t>Step 5: Connect Site Sign-In to the Record</w:t>
      </w:r>
    </w:p>
    <w:p>
      <w:pPr>
        <w:spacing w:after="20"/>
      </w:pPr>
      <w:r>
        <w:rPr>
          <w:b w:val="0"/>
          <w:i/>
          <w:color w:val="5B6E8A"/>
          <w:sz w:val="17"/>
        </w:rPr>
        <w:t>From week 5, one site at a time. Owner: site champions. Done when one site runs the gate check.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A sign-in point chosen for each entry (each has its own QR code).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Induction and confirmation wording agreed. Visitor setting decided.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Rule decided for a worker whose record has gaps: stop them, or allow and notify.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Pilot site live. Exceptions reviewed every week. Date set for switching exceptions off.</w:t>
      </w:r>
    </w:p>
    <w:p>
      <w:pPr>
        <w:pStyle w:val="Heading2"/>
      </w:pPr>
      <w:r>
        <w:t>Step 6: Train Supervisors</w:t>
      </w:r>
    </w:p>
    <w:p>
      <w:pPr>
        <w:spacing w:after="20"/>
      </w:pPr>
      <w:r>
        <w:rPr>
          <w:b w:val="0"/>
          <w:i/>
          <w:color w:val="5B6E8A"/>
          <w:sz w:val="17"/>
        </w:rPr>
        <w:t>One hour, 1 to 2 weeks before the gate check starts. Owner: site champions.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Covered: what the status means; who to call; never wave anyone through on a verbal assurance; how to log an exception; what to say.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Role-played 3 cases: licence expired yesterday; missing induction; new hire not in the system.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Named person at the pilot gate on the first morning. On-call contact for the first fortnight.</w:t>
      </w:r>
    </w:p>
    <w:p>
      <w:pPr>
        <w:pStyle w:val="Heading2"/>
      </w:pPr>
      <w:r>
        <w:t>Step 7: Run Old &amp; New Side by Side</w:t>
      </w:r>
    </w:p>
    <w:p>
      <w:pPr>
        <w:spacing w:after="20"/>
      </w:pPr>
      <w:r>
        <w:rPr>
          <w:b w:val="0"/>
          <w:i/>
          <w:color w:val="5B6E8A"/>
          <w:sz w:val="17"/>
        </w:rPr>
        <w:t>Ends about week 12 (100 contractors) or 16 (300). Owner: project owner. Done when the exit rule is met and the spreadsheet is read-only.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Spreadsheet freeze date set. New contractors and renewals entered in the system only.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Friday reconciliation, 15 minutes: the worker list, with what is outstanding, against who actually signed in.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Exit rule written before wave 1, as a condition and a latest date (the end of the ladder on the last wave). Example: 3 consecutive weeks with nobody on site who is held only in the spreadsheet; every tier 3 contractor active; review queue empty on Fridays.</w:t>
      </w:r>
    </w:p>
    <w:p>
      <w:pPr>
        <w:spacing w:after="20"/>
        <w:ind w:left="312" w:hanging="312"/>
      </w:pPr>
      <w:r>
        <w:rPr>
          <w:rFonts w:ascii="Segoe UI Symbol" w:hAnsi="Segoe UI Symbol" w:eastAsia="Segoe UI Symbol"/>
          <w:b w:val="0"/>
          <w:i w:val="0"/>
          <w:color w:val="0074B7"/>
          <w:sz w:val="20"/>
        </w:rPr>
        <w:t xml:space="preserve">☐  </w:t>
      </w:r>
      <w:r>
        <w:rPr>
          <w:b w:val="0"/>
          <w:i w:val="0"/>
          <w:sz w:val="19"/>
        </w:rPr>
        <w:t>Exit rule met. Spreadsheet read-only. Date recorded: [DD/MM/YYYY].</w:t>
      </w:r>
    </w:p>
    <w:p>
      <w:pPr>
        <w:pStyle w:val="Heading1"/>
      </w:pPr>
      <w:r>
        <w:t>The Invitation Ladder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5ED"/>
          <w:left w:val="single" w:sz="4" w:space="0" w:color="DCE5ED"/>
          <w:bottom w:val="single" w:sz="4" w:space="0" w:color="DCE5ED"/>
          <w:right w:val="single" w:sz="4" w:space="0" w:color="DCE5ED"/>
          <w:insideH w:val="single" w:sz="4" w:space="0" w:color="DCE5ED"/>
          <w:insideV w:val="single" w:sz="4" w:space="0" w:color="DCE5ED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466"/>
        <w:gridCol w:w="2466"/>
        <w:gridCol w:w="2466"/>
        <w:gridCol w:w="2466"/>
      </w:tblGrid>
      <w:tr>
        <w:tc>
          <w:tcPr>
            <w:tcW w:type="dxa" w:w="907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Day</w:t>
            </w:r>
          </w:p>
        </w:tc>
        <w:tc>
          <w:tcPr>
            <w:tcW w:type="dxa" w:w="4649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Who</w:t>
            </w:r>
          </w:p>
        </w:tc>
        <w:tc>
          <w:tcPr>
            <w:tcW w:type="dxa" w:w="2268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Your rule</w:t>
            </w:r>
          </w:p>
        </w:tc>
      </w:tr>
      <w:tr>
        <w:trPr>
          <w:cantSplit w:val="true"/>
        </w:trPr>
        <w:tc>
          <w:tcPr>
            <w:tcW w:type="dxa" w:w="907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0</w:t>
            </w:r>
          </w:p>
        </w:tc>
        <w:tc>
          <w:tcPr>
            <w:tcW w:type="dxa" w:w="4649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Invitation sent</w:t>
            </w:r>
          </w:p>
        </w:tc>
        <w:tc>
          <w:tcPr>
            <w:tcW w:type="dxa" w:w="2041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Administrator</w:t>
            </w:r>
          </w:p>
        </w:tc>
        <w:tc>
          <w:tcPr>
            <w:tcW w:type="dxa" w:w="2268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907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5 to 7</w:t>
            </w:r>
          </w:p>
        </w:tc>
        <w:tc>
          <w:tcPr>
            <w:tcW w:type="dxa" w:w="4649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Reminder from the person they know</w:t>
            </w:r>
          </w:p>
        </w:tc>
        <w:tc>
          <w:tcPr>
            <w:tcW w:type="dxa" w:w="2041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Relationship owner</w:t>
            </w:r>
          </w:p>
        </w:tc>
        <w:tc>
          <w:tcPr>
            <w:tcW w:type="dxa" w:w="2268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907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14</w:t>
            </w:r>
          </w:p>
        </w:tc>
        <w:tc>
          <w:tcPr>
            <w:tcW w:type="dxa" w:w="4649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Phone call</w:t>
            </w:r>
          </w:p>
        </w:tc>
        <w:tc>
          <w:tcPr>
            <w:tcW w:type="dxa" w:w="2041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Site contact</w:t>
            </w:r>
          </w:p>
        </w:tc>
        <w:tc>
          <w:tcPr>
            <w:tcW w:type="dxa" w:w="2268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907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21</w:t>
            </w:r>
          </w:p>
        </w:tc>
        <w:tc>
          <w:tcPr>
            <w:tcW w:type="dxa" w:w="4649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Letter to the contractor's owner (tier 3 and above)</w:t>
            </w:r>
          </w:p>
        </w:tc>
        <w:tc>
          <w:tcPr>
            <w:tcW w:type="dxa" w:w="2041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Sponsor</w:t>
            </w:r>
          </w:p>
        </w:tc>
        <w:tc>
          <w:tcPr>
            <w:tcW w:type="dxa" w:w="2268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907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28</w:t>
            </w:r>
          </w:p>
        </w:tc>
        <w:tc>
          <w:tcPr>
            <w:tcW w:type="dxa" w:w="4649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Rule applies. Low tier: escorted visitor. High tier: does not start work.</w:t>
            </w:r>
          </w:p>
        </w:tc>
        <w:tc>
          <w:tcPr>
            <w:tcW w:type="dxa" w:w="2041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  <w:t>Sponsor</w:t>
            </w:r>
          </w:p>
        </w:tc>
        <w:tc>
          <w:tcPr>
            <w:tcW w:type="dxa" w:w="2268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</w:tbl>
    <w:p>
      <w:pPr>
        <w:pStyle w:val="Heading1"/>
      </w:pPr>
      <w:r>
        <w:t>The Five Adoption Measures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CE5ED"/>
          <w:left w:val="single" w:sz="4" w:space="0" w:color="DCE5ED"/>
          <w:bottom w:val="single" w:sz="4" w:space="0" w:color="DCE5ED"/>
          <w:right w:val="single" w:sz="4" w:space="0" w:color="DCE5ED"/>
          <w:insideH w:val="single" w:sz="4" w:space="0" w:color="DCE5ED"/>
          <w:insideV w:val="single" w:sz="4" w:space="0" w:color="DCE5ED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3969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Measure</w:t>
            </w:r>
          </w:p>
        </w:tc>
        <w:tc>
          <w:tcPr>
            <w:tcW w:type="dxa" w:w="1134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Week 1</w:t>
            </w:r>
          </w:p>
        </w:tc>
        <w:tc>
          <w:tcPr>
            <w:tcW w:type="dxa" w:w="1134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Week 4</w:t>
            </w:r>
          </w:p>
        </w:tc>
        <w:tc>
          <w:tcPr>
            <w:tcW w:type="dxa" w:w="1134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Week 8</w:t>
            </w:r>
          </w:p>
        </w:tc>
        <w:tc>
          <w:tcPr>
            <w:tcW w:type="dxa" w:w="2494"/>
            <w:shd w:val="clear" w:color="auto" w:fill="0074B7"/>
          </w:tcPr>
          <w:p>
            <w:pPr>
              <w:spacing w:after="0"/>
            </w:pPr>
            <w:r>
              <w:rPr>
                <w:rFonts w:ascii="Plus Jakarta Sans" w:hAnsi="Plus Jakarta Sans" w:eastAsia="Plus Jakarta Sans"/>
                <w:b/>
                <w:i w:val="0"/>
                <w:color w:val="FFFFFF"/>
                <w:sz w:val="18"/>
              </w:rPr>
              <w:t>Target (set after the pilot)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1. Activation at day 14: invited companies that have started their record</w:t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249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2. First-pass approval rate: documents approved without being sent back</w:t>
            </w:r>
          </w:p>
        </w:tc>
        <w:tc>
          <w:tcPr>
            <w:tcW w:type="dxa" w:w="113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249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3. Gate exceptions per week</w:t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249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8F9FD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4. Leakage: documents still arriving by email</w:t>
            </w:r>
          </w:p>
        </w:tc>
        <w:tc>
          <w:tcPr>
            <w:tcW w:type="dxa" w:w="113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2494"/>
            <w:shd w:val="clear" w:color="auto" w:fill="F8F9FD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FFFFF"/>
          </w:tcPr>
          <w:p>
            <w:pPr>
              <w:spacing w:after="0" w:line="264" w:lineRule="auto"/>
            </w:pPr>
            <w:r>
              <w:rPr>
                <w:b/>
                <w:i w:val="0"/>
                <w:color w:val="173557"/>
                <w:sz w:val="18"/>
              </w:rPr>
              <w:t>5. Admin hours per week spent chasing</w:t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113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  <w:tc>
          <w:tcPr>
            <w:tcW w:type="dxa" w:w="2494"/>
            <w:shd w:val="clear" w:color="auto" w:fill="FFFFFF"/>
          </w:tcPr>
          <w:p>
            <w:pPr>
              <w:spacing w:after="0" w:line="264" w:lineRule="auto"/>
            </w:pPr>
            <w:r>
              <w:rPr>
                <w:b w:val="0"/>
                <w:i w:val="0"/>
                <w:color w:val="2F2F2F"/>
                <w:sz w:val="18"/>
              </w:rPr>
            </w:r>
          </w:p>
        </w:tc>
      </w:tr>
    </w:tbl>
    <w:sectPr w:rsidR="00FC693F" w:rsidRPr="0006063C" w:rsidSect="00034616">
      <w:pgSz w:w="11906" w:h="16838"/>
      <w:pgMar w:top="680" w:right="1020" w:bottom="62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Inter" w:hAnsi="Inter" w:cs="Inter" w:eastAsia="Inter"/>
      <w:b w:val="0"/>
      <w:i w:val="0"/>
      <w:color w:val="2F2F2F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Plus Jakarta Sans" w:hAnsi="Plus Jakarta Sans" w:cs="Plus Jakarta Sans" w:eastAsia="Plus Jakarta Sans"/>
      <w:b/>
      <w:bCs/>
      <w:i w:val="0"/>
      <w:color w:val="0074B7"/>
      <w:sz w:val="26"/>
      <w:szCs w:val="28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="Plus Jakarta Sans" w:hAnsi="Plus Jakarta Sans" w:cs="Plus Jakarta Sans" w:eastAsia="Plus Jakarta Sans"/>
      <w:b/>
      <w:bCs/>
      <w:i w:val="0"/>
      <w:color w:val="173557"/>
      <w:sz w:val="21"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Plus Jakarta Sans" w:hAnsi="Plus Jakarta Sans" w:cs="Plus Jakarta Sans" w:eastAsia="Plus Jakarta Sans"/>
      <w:b/>
      <w:i w:val="0"/>
      <w:color w:val="173557"/>
      <w:spacing w:val="5"/>
      <w:kern w:val="28"/>
      <w:sz w:val="38"/>
      <w:szCs w:val="52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