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rFonts w:ascii="Plus Jakarta Sans" w:hAnsi="Plus Jakarta Sans" w:eastAsia="Plus Jakarta Sans"/>
          <w:b/>
          <w:i w:val="0"/>
          <w:color w:val="173557"/>
        </w:rPr>
        <w:t>Contractor Management Procedure and Plan Template</w:t>
      </w:r>
    </w:p>
    <w:p>
      <w:r>
        <w:rPr>
          <w:b w:val="0"/>
          <w:i w:val="0"/>
          <w:color w:val="2F2F2F"/>
          <w:sz w:val="22"/>
        </w:rPr>
        <w:t>The headings, and what goes under each. Replace the [square brackets], write your own state’s Act and Regulation into it, and delete what does not apply.</w:t>
      </w:r>
    </w:p>
    <w:p>
      <w:r>
        <w:rPr>
          <w:b w:val="0"/>
          <w:i w:val="0"/>
          <w:color w:val="5B6E8A"/>
          <w:sz w:val="18"/>
        </w:rPr>
        <w:t>From ComplyFlow, www.complyflow.com. Version 1.0, October 2026. A starting point, not legal advice.</w:t>
      </w:r>
    </w:p>
    <w:p>
      <w:pPr>
        <w:pStyle w:val="Heading1"/>
      </w:pPr>
      <w:r>
        <w:t>How to Use This Template</w:t>
      </w:r>
    </w:p>
    <w:p>
      <w:pPr>
        <w:pStyle w:val="ListBullet"/>
      </w:pPr>
      <w:r>
        <w:t>Part A is the procedure: the standing rules for every contractor your business engages. Write it once.</w:t>
      </w:r>
    </w:p>
    <w:p>
      <w:pPr>
        <w:pStyle w:val="ListBullet"/>
      </w:pPr>
      <w:r>
        <w:t>Part B is the tier table. It is an example set, not law; write yours from the risks of your own work.</w:t>
      </w:r>
    </w:p>
    <w:p>
      <w:pPr>
        <w:pStyle w:val="ListBullet"/>
      </w:pPr>
      <w:r>
        <w:t>Part C is the plan: the procedure applied to one engagement. Copy Part C for each job that needs one.</w:t>
      </w:r>
    </w:p>
    <w:p>
      <w:pPr>
        <w:pStyle w:val="ListBullet"/>
      </w:pPr>
      <w:r>
        <w:t>Keep the finished procedure short enough that a site contact will read it. If a section runs past a page, it is probably two sections.</w:t>
      </w:r>
    </w:p>
    <w:p>
      <w:pPr>
        <w:pStyle w:val="Heading1"/>
      </w:pPr>
      <w:r>
        <w:t>Part A: The Procedure</w:t>
      </w:r>
    </w:p>
    <w:p>
      <w:pPr>
        <w:pStyle w:val="Heading2"/>
      </w:pPr>
      <w:r>
        <w:t>1. Document Control</w:t>
      </w:r>
    </w:p>
    <w:tbl>
      <w:tblPr>
        <w:tblW w:type="auto" w:w="0"/>
        <w:jc w:val="center"/>
        <w:tblLayout w:type="fixed"/>
        <w:tblLook w:firstColumn="1" w:firstRow="1" w:lastColumn="0" w:lastRow="0" w:noHBand="0" w:noVBand="1" w:val="04A0"/>
        <w:tblBorders>
          <w:top w:val="single" w:sz="4" w:space="0" w:color="DCE5ED"/>
          <w:left w:val="single" w:sz="4" w:space="0" w:color="DCE5ED"/>
          <w:bottom w:val="single" w:sz="4" w:space="0" w:color="DCE5ED"/>
          <w:right w:val="single" w:sz="4" w:space="0" w:color="DCE5ED"/>
          <w:insideH w:val="single" w:sz="4" w:space="0" w:color="DCE5ED"/>
          <w:insideV w:val="single" w:sz="4" w:space="0" w:color="DCE5ED"/>
        </w:tblBorders>
        <w:tblCellMar>
          <w:top w:w="70" w:type="dxa"/>
          <w:left w:w="110" w:type="dxa"/>
          <w:bottom w:w="70" w:type="dxa"/>
          <w:right w:w="110" w:type="dxa"/>
        </w:tblCellMar>
      </w:tblPr>
      <w:tblGrid>
        <w:gridCol w:w="4819"/>
        <w:gridCol w:w="4819"/>
      </w:tblGrid>
      <w:tr>
        <w:trPr>
          <w:tblHeader w:val="true"/>
        </w:trPr>
        <w:tc>
          <w:tcPr>
            <w:tcW w:type="dxa" w:w="3402"/>
            <w:shd w:val="clear" w:color="auto" w:fill="0074B7"/>
          </w:tcPr>
          <w:p>
            <w:pPr>
              <w:spacing w:after="0"/>
            </w:pPr>
            <w:r>
              <w:rPr>
                <w:rFonts w:ascii="Plus Jakarta Sans" w:hAnsi="Plus Jakarta Sans" w:eastAsia="Plus Jakarta Sans"/>
                <w:b/>
                <w:i w:val="0"/>
                <w:color w:val="FFFFFF"/>
                <w:sz w:val="19"/>
              </w:rPr>
              <w:t>Field</w:t>
            </w:r>
          </w:p>
        </w:tc>
        <w:tc>
          <w:tcPr>
            <w:tcW w:type="dxa" w:w="6236"/>
            <w:shd w:val="clear" w:color="auto" w:fill="0074B7"/>
          </w:tcPr>
          <w:p>
            <w:pPr>
              <w:spacing w:after="0"/>
            </w:pPr>
            <w:r>
              <w:rPr>
                <w:rFonts w:ascii="Plus Jakarta Sans" w:hAnsi="Plus Jakarta Sans" w:eastAsia="Plus Jakarta Sans"/>
                <w:b/>
                <w:i w:val="0"/>
                <w:color w:val="FFFFFF"/>
                <w:sz w:val="19"/>
              </w:rPr>
              <w:t>Entry</w:t>
            </w:r>
          </w:p>
        </w:tc>
      </w:tr>
      <w:tr>
        <w:trPr>
          <w:cantSplit w:val="true"/>
        </w:trPr>
        <w:tc>
          <w:tcPr>
            <w:tcW w:type="dxa" w:w="3402"/>
            <w:shd w:val="clear" w:color="auto" w:fill="FFFFFF"/>
          </w:tcPr>
          <w:p>
            <w:pPr>
              <w:spacing w:after="0" w:line="288" w:lineRule="auto"/>
            </w:pPr>
            <w:r>
              <w:rPr>
                <w:b/>
                <w:i w:val="0"/>
                <w:color w:val="173557"/>
                <w:sz w:val="19"/>
              </w:rPr>
              <w:t>Title</w:t>
            </w:r>
          </w:p>
        </w:tc>
        <w:tc>
          <w:tcPr>
            <w:tcW w:type="dxa" w:w="6236"/>
            <w:shd w:val="clear" w:color="auto" w:fill="FFFFFF"/>
          </w:tcPr>
          <w:p>
            <w:pPr>
              <w:spacing w:after="0" w:line="288" w:lineRule="auto"/>
            </w:pPr>
            <w:r>
              <w:rPr>
                <w:b w:val="0"/>
                <w:i w:val="0"/>
                <w:sz w:val="19"/>
              </w:rPr>
              <w:t>[Company] Contractor Management Procedure</w:t>
            </w:r>
          </w:p>
        </w:tc>
      </w:tr>
      <w:tr>
        <w:trPr>
          <w:cantSplit w:val="true"/>
        </w:trPr>
        <w:tc>
          <w:tcPr>
            <w:tcW w:type="dxa" w:w="3402"/>
            <w:shd w:val="clear" w:color="auto" w:fill="F8F9FD"/>
          </w:tcPr>
          <w:p>
            <w:pPr>
              <w:spacing w:after="0" w:line="288" w:lineRule="auto"/>
            </w:pPr>
            <w:r>
              <w:rPr>
                <w:b/>
                <w:i w:val="0"/>
                <w:color w:val="173557"/>
                <w:sz w:val="19"/>
              </w:rPr>
              <w:t>Owner (a role, not a name)</w:t>
            </w:r>
          </w:p>
        </w:tc>
        <w:tc>
          <w:tcPr>
            <w:tcW w:type="dxa" w:w="6236"/>
            <w:shd w:val="clear" w:color="auto" w:fill="F8F9FD"/>
          </w:tcPr>
          <w:p>
            <w:pPr>
              <w:spacing w:after="0" w:line="288" w:lineRule="auto"/>
            </w:pPr>
            <w:r>
              <w:rPr>
                <w:b w:val="0"/>
                <w:i w:val="0"/>
                <w:sz w:val="19"/>
              </w:rPr>
              <w:t>[Role]</w:t>
            </w:r>
          </w:p>
        </w:tc>
      </w:tr>
      <w:tr>
        <w:trPr>
          <w:cantSplit w:val="true"/>
        </w:trPr>
        <w:tc>
          <w:tcPr>
            <w:tcW w:type="dxa" w:w="3402"/>
            <w:shd w:val="clear" w:color="auto" w:fill="FFFFFF"/>
          </w:tcPr>
          <w:p>
            <w:pPr>
              <w:spacing w:after="0" w:line="288" w:lineRule="auto"/>
            </w:pPr>
            <w:r>
              <w:rPr>
                <w:b/>
                <w:i w:val="0"/>
                <w:color w:val="173557"/>
                <w:sz w:val="19"/>
              </w:rPr>
              <w:t>Approver (an officer or senior manager)</w:t>
            </w:r>
          </w:p>
        </w:tc>
        <w:tc>
          <w:tcPr>
            <w:tcW w:type="dxa" w:w="6236"/>
            <w:shd w:val="clear" w:color="auto" w:fill="FFFFFF"/>
          </w:tcPr>
          <w:p>
            <w:pPr>
              <w:spacing w:after="0" w:line="288" w:lineRule="auto"/>
            </w:pPr>
            <w:r>
              <w:rPr>
                <w:b w:val="0"/>
                <w:i w:val="0"/>
                <w:sz w:val="19"/>
              </w:rPr>
              <w:t>[Role]</w:t>
            </w:r>
          </w:p>
        </w:tc>
      </w:tr>
      <w:tr>
        <w:trPr>
          <w:cantSplit w:val="true"/>
        </w:trPr>
        <w:tc>
          <w:tcPr>
            <w:tcW w:type="dxa" w:w="3402"/>
            <w:shd w:val="clear" w:color="auto" w:fill="F8F9FD"/>
          </w:tcPr>
          <w:p>
            <w:pPr>
              <w:spacing w:after="0" w:line="288" w:lineRule="auto"/>
            </w:pPr>
            <w:r>
              <w:rPr>
                <w:b/>
                <w:i w:val="0"/>
                <w:color w:val="173557"/>
                <w:sz w:val="19"/>
              </w:rPr>
              <w:t>Version</w:t>
            </w:r>
          </w:p>
        </w:tc>
        <w:tc>
          <w:tcPr>
            <w:tcW w:type="dxa" w:w="6236"/>
            <w:shd w:val="clear" w:color="auto" w:fill="F8F9FD"/>
          </w:tcPr>
          <w:p>
            <w:pPr>
              <w:spacing w:after="0" w:line="288" w:lineRule="auto"/>
            </w:pPr>
            <w:r>
              <w:rPr>
                <w:b w:val="0"/>
                <w:i w:val="0"/>
                <w:sz w:val="19"/>
              </w:rPr>
              <w:t>[1.0]</w:t>
            </w:r>
          </w:p>
        </w:tc>
      </w:tr>
      <w:tr>
        <w:trPr>
          <w:cantSplit w:val="true"/>
        </w:trPr>
        <w:tc>
          <w:tcPr>
            <w:tcW w:type="dxa" w:w="3402"/>
            <w:shd w:val="clear" w:color="auto" w:fill="FFFFFF"/>
          </w:tcPr>
          <w:p>
            <w:pPr>
              <w:spacing w:after="0" w:line="288" w:lineRule="auto"/>
            </w:pPr>
            <w:r>
              <w:rPr>
                <w:b/>
                <w:i w:val="0"/>
                <w:color w:val="173557"/>
                <w:sz w:val="19"/>
              </w:rPr>
              <w:t>Effective date</w:t>
            </w:r>
          </w:p>
        </w:tc>
        <w:tc>
          <w:tcPr>
            <w:tcW w:type="dxa" w:w="6236"/>
            <w:shd w:val="clear" w:color="auto" w:fill="FFFFFF"/>
          </w:tcPr>
          <w:p>
            <w:pPr>
              <w:spacing w:after="0" w:line="288" w:lineRule="auto"/>
            </w:pPr>
            <w:r>
              <w:rPr>
                <w:b w:val="0"/>
                <w:i w:val="0"/>
                <w:sz w:val="19"/>
              </w:rPr>
              <w:t>[DD/MM/YYYY]</w:t>
            </w:r>
          </w:p>
        </w:tc>
      </w:tr>
      <w:tr>
        <w:trPr>
          <w:cantSplit w:val="true"/>
        </w:trPr>
        <w:tc>
          <w:tcPr>
            <w:tcW w:type="dxa" w:w="3402"/>
            <w:shd w:val="clear" w:color="auto" w:fill="F8F9FD"/>
          </w:tcPr>
          <w:p>
            <w:pPr>
              <w:spacing w:after="0" w:line="288" w:lineRule="auto"/>
            </w:pPr>
            <w:r>
              <w:rPr>
                <w:b/>
                <w:i w:val="0"/>
                <w:color w:val="173557"/>
                <w:sz w:val="19"/>
              </w:rPr>
              <w:t>Next review date</w:t>
            </w:r>
          </w:p>
        </w:tc>
        <w:tc>
          <w:tcPr>
            <w:tcW w:type="dxa" w:w="6236"/>
            <w:shd w:val="clear" w:color="auto" w:fill="F8F9FD"/>
          </w:tcPr>
          <w:p>
            <w:pPr>
              <w:spacing w:after="0" w:line="288" w:lineRule="auto"/>
            </w:pPr>
            <w:r>
              <w:rPr>
                <w:b w:val="0"/>
                <w:i w:val="0"/>
                <w:sz w:val="19"/>
              </w:rPr>
              <w:t>[DD/MM/YYYY]</w:t>
            </w:r>
          </w:p>
        </w:tc>
      </w:tr>
      <w:tr>
        <w:trPr>
          <w:cantSplit w:val="true"/>
        </w:trPr>
        <w:tc>
          <w:tcPr>
            <w:tcW w:type="dxa" w:w="3402"/>
            <w:shd w:val="clear" w:color="auto" w:fill="FFFFFF"/>
          </w:tcPr>
          <w:p>
            <w:pPr>
              <w:spacing w:after="0" w:line="288" w:lineRule="auto"/>
            </w:pPr>
            <w:r>
              <w:rPr>
                <w:b/>
                <w:i w:val="0"/>
                <w:color w:val="173557"/>
                <w:sz w:val="19"/>
              </w:rPr>
              <w:t>Act and Regulation this is written under</w:t>
            </w:r>
          </w:p>
        </w:tc>
        <w:tc>
          <w:tcPr>
            <w:tcW w:type="dxa" w:w="6236"/>
            <w:shd w:val="clear" w:color="auto" w:fill="FFFFFF"/>
          </w:tcPr>
          <w:p>
            <w:pPr>
              <w:spacing w:after="0" w:line="288" w:lineRule="auto"/>
            </w:pPr>
            <w:r>
              <w:rPr>
                <w:b w:val="0"/>
                <w:i w:val="0"/>
                <w:sz w:val="19"/>
              </w:rPr>
              <w:t>[State or territory law]</w:t>
            </w:r>
          </w:p>
        </w:tc>
      </w:tr>
    </w:tbl>
    <w:p>
      <w:pPr>
        <w:spacing w:after="40"/>
      </w:pPr>
    </w:p>
    <w:p>
      <w:pPr>
        <w:pStyle w:val="Heading2"/>
      </w:pPr>
      <w:r>
        <w:t>2. Purpose &amp; Scope</w:t>
      </w:r>
    </w:p>
    <w:p>
      <w:pPr>
        <w:spacing w:after="60"/>
      </w:pPr>
      <w:r>
        <w:rPr>
          <w:b/>
          <w:i w:val="0"/>
          <w:color w:val="5B6E8A"/>
          <w:sz w:val="18"/>
        </w:rPr>
        <w:t xml:space="preserve">Guidance: </w:t>
      </w:r>
      <w:r>
        <w:rPr>
          <w:b w:val="0"/>
          <w:i/>
          <w:color w:val="5B6E8A"/>
          <w:sz w:val="18"/>
        </w:rPr>
        <w:t>One paragraph on why the business manages contractors, then who and where it applies: sites, contractors, subcontractors, sole traders and labour hire, and any exclusions with the reason.</w:t>
      </w:r>
    </w:p>
    <w:p>
      <w:pPr>
        <w:spacing w:after="60"/>
      </w:pPr>
      <w:r>
        <w:rPr>
          <w:b/>
          <w:i w:val="0"/>
          <w:color w:val="5B6E8A"/>
          <w:sz w:val="18"/>
        </w:rPr>
        <w:t xml:space="preserve">Example: </w:t>
      </w:r>
      <w:r>
        <w:rPr>
          <w:b w:val="0"/>
          <w:i/>
          <w:color w:val="5B6E8A"/>
          <w:sz w:val="18"/>
        </w:rPr>
        <w:t>This procedure applies to every person or business that carries out work at [Company] sites under a contract, including subcontractors, couriers and deliveries. Deliveries that stay at the loading dock are tier 1: sign-in and a short briefing on site rules.</w:t>
      </w:r>
    </w:p>
    <w:p>
      <w:pPr>
        <w:spacing w:after="80"/>
      </w:pPr>
      <w:r>
        <w:rPr>
          <w:b w:val="0"/>
          <w:i w:val="0"/>
          <w:color w:val="0074B7"/>
        </w:rPr>
        <w:t>[Write here]</w:t>
      </w:r>
    </w:p>
    <w:p>
      <w:pPr>
        <w:pStyle w:val="Heading2"/>
      </w:pPr>
      <w:r>
        <w:t>3. Definitions &amp; Legal Basis</w:t>
      </w:r>
    </w:p>
    <w:p>
      <w:pPr>
        <w:spacing w:after="60"/>
      </w:pPr>
      <w:r>
        <w:rPr>
          <w:b/>
          <w:i w:val="0"/>
          <w:color w:val="5B6E8A"/>
          <w:sz w:val="18"/>
        </w:rPr>
        <w:t xml:space="preserve">Guidance: </w:t>
      </w:r>
      <w:r>
        <w:rPr>
          <w:b w:val="0"/>
          <w:i/>
          <w:color w:val="5B6E8A"/>
          <w:sz w:val="18"/>
        </w:rPr>
        <w:t>PCBU, worker, contractor, subcontractor, site contact and tier, in the words your state’s Act uses, and the Act and Regulation by name. One line on each duty you rely on. Do not paste the Act in.</w:t>
      </w:r>
    </w:p>
    <w:p>
      <w:pPr>
        <w:spacing w:after="80"/>
      </w:pPr>
      <w:r>
        <w:rPr>
          <w:b w:val="0"/>
          <w:i w:val="0"/>
          <w:color w:val="0074B7"/>
        </w:rPr>
        <w:t>[Write here]</w:t>
      </w:r>
    </w:p>
    <w:p>
      <w:pPr>
        <w:pStyle w:val="Heading2"/>
      </w:pPr>
      <w:r>
        <w:t>4. Roles &amp; Responsibilities</w:t>
      </w:r>
    </w:p>
    <w:p>
      <w:pPr>
        <w:spacing w:after="60"/>
      </w:pPr>
      <w:r>
        <w:rPr>
          <w:b/>
          <w:i w:val="0"/>
          <w:color w:val="5B6E8A"/>
          <w:sz w:val="18"/>
        </w:rPr>
        <w:t xml:space="preserve">Guidance: </w:t>
      </w:r>
      <w:r>
        <w:rPr>
          <w:b w:val="0"/>
          <w:i/>
          <w:color w:val="5B6E8A"/>
          <w:sz w:val="18"/>
        </w:rPr>
        <w:t>For each role, what it decides and what it keeps: the engager, the approver, the site contact, the safety manager, procurement, the officer who reviews performance, and the contractor’s own responsibilities.</w:t>
      </w:r>
    </w:p>
    <w:p>
      <w:pPr>
        <w:spacing w:after="80"/>
      </w:pPr>
      <w:r>
        <w:rPr>
          <w:b w:val="0"/>
          <w:i w:val="0"/>
          <w:color w:val="0074B7"/>
        </w:rPr>
        <w:t>[Write here]</w:t>
      </w:r>
    </w:p>
    <w:p>
      <w:pPr>
        <w:pStyle w:val="Heading2"/>
      </w:pPr>
      <w:r>
        <w:t>5. Contractor Tiers</w:t>
      </w:r>
    </w:p>
    <w:p>
      <w:pPr>
        <w:spacing w:after="60"/>
      </w:pPr>
      <w:r>
        <w:rPr>
          <w:b/>
          <w:i w:val="0"/>
          <w:color w:val="5B6E8A"/>
          <w:sz w:val="18"/>
        </w:rPr>
        <w:t xml:space="preserve">Guidance: </w:t>
      </w:r>
      <w:r>
        <w:rPr>
          <w:b w:val="0"/>
          <w:i/>
          <w:color w:val="5B6E8A"/>
          <w:sz w:val="18"/>
        </w:rPr>
        <w:t>The tier definitions, how a tier is assigned, and who may change one. Use Part B.</w:t>
      </w:r>
    </w:p>
    <w:p>
      <w:pPr>
        <w:spacing w:after="80"/>
      </w:pPr>
      <w:r>
        <w:rPr>
          <w:b w:val="0"/>
          <w:i w:val="0"/>
          <w:color w:val="0074B7"/>
        </w:rPr>
        <w:t>[Write here]</w:t>
      </w:r>
    </w:p>
    <w:p>
      <w:pPr>
        <w:pStyle w:val="Heading2"/>
      </w:pPr>
      <w:r>
        <w:t>6. Before Engagement</w:t>
      </w:r>
    </w:p>
    <w:p>
      <w:pPr>
        <w:spacing w:after="60"/>
      </w:pPr>
      <w:r>
        <w:rPr>
          <w:b/>
          <w:i w:val="0"/>
          <w:color w:val="5B6E8A"/>
          <w:sz w:val="18"/>
        </w:rPr>
        <w:t xml:space="preserve">Guidance: </w:t>
      </w:r>
      <w:r>
        <w:rPr>
          <w:b w:val="0"/>
          <w:i/>
          <w:color w:val="5B6E8A"/>
          <w:sz w:val="18"/>
        </w:rPr>
        <w:t>Define the scope of work, assign the tier, then list the evidence each tier must give: insurances, licences, safety management system, safety record. State who decides and what the decision record holds.</w:t>
      </w:r>
    </w:p>
    <w:p>
      <w:pPr>
        <w:spacing w:after="80"/>
      </w:pPr>
      <w:r>
        <w:rPr>
          <w:b w:val="0"/>
          <w:i w:val="0"/>
          <w:color w:val="0074B7"/>
        </w:rPr>
        <w:t>[Write here]</w:t>
      </w:r>
    </w:p>
    <w:p>
      <w:pPr>
        <w:pStyle w:val="Heading2"/>
      </w:pPr>
      <w:r>
        <w:t>7. Onboarding</w:t>
      </w:r>
    </w:p>
    <w:p>
      <w:pPr>
        <w:spacing w:after="60"/>
      </w:pPr>
      <w:r>
        <w:rPr>
          <w:b/>
          <w:i w:val="0"/>
          <w:color w:val="5B6E8A"/>
          <w:sz w:val="18"/>
        </w:rPr>
        <w:t xml:space="preserve">Guidance: </w:t>
      </w:r>
      <w:r>
        <w:rPr>
          <w:b w:val="0"/>
          <w:i/>
          <w:color w:val="5B6E8A"/>
          <w:sz w:val="18"/>
        </w:rPr>
        <w:t>What each contractor receives and agrees to before its first visit: site rules, hazard information (such as the asbestos register for older buildings), emergency arrangements, induction, the named contact, and the contract clauses on incident reporting and on telling you when they are on site.</w:t>
      </w:r>
    </w:p>
    <w:p>
      <w:pPr>
        <w:spacing w:after="80"/>
      </w:pPr>
      <w:r>
        <w:rPr>
          <w:b w:val="0"/>
          <w:i w:val="0"/>
          <w:color w:val="0074B7"/>
        </w:rPr>
        <w:t>[Write here]</w:t>
      </w:r>
    </w:p>
    <w:p>
      <w:pPr>
        <w:pStyle w:val="Heading2"/>
      </w:pPr>
      <w:r>
        <w:t>8. Worker Verification</w:t>
      </w:r>
    </w:p>
    <w:p>
      <w:pPr>
        <w:spacing w:after="60"/>
      </w:pPr>
      <w:r>
        <w:rPr>
          <w:b/>
          <w:i w:val="0"/>
          <w:color w:val="5B6E8A"/>
          <w:sz w:val="18"/>
        </w:rPr>
        <w:t xml:space="preserve">Guidance: </w:t>
      </w:r>
      <w:r>
        <w:rPr>
          <w:b w:val="0"/>
          <w:i/>
          <w:color w:val="5B6E8A"/>
          <w:sz w:val="18"/>
        </w:rPr>
        <w:t>Per-person evidence: identity, licences with written evidence for high risk work, training, induction dates and expiry dates. Say how subcontractors are disclosed and what happens when the company sends someone new.</w:t>
      </w:r>
    </w:p>
    <w:p>
      <w:pPr>
        <w:spacing w:after="80"/>
      </w:pPr>
      <w:r>
        <w:rPr>
          <w:b w:val="0"/>
          <w:i w:val="0"/>
          <w:color w:val="0074B7"/>
        </w:rPr>
        <w:t>[Write here]</w:t>
      </w:r>
    </w:p>
    <w:p>
      <w:pPr>
        <w:pStyle w:val="Heading2"/>
      </w:pPr>
      <w:r>
        <w:t>9. Site Access</w:t>
      </w:r>
    </w:p>
    <w:p>
      <w:pPr>
        <w:spacing w:after="60"/>
      </w:pPr>
      <w:r>
        <w:rPr>
          <w:b/>
          <w:i w:val="0"/>
          <w:color w:val="5B6E8A"/>
          <w:sz w:val="18"/>
        </w:rPr>
        <w:t xml:space="preserve">Guidance: </w:t>
      </w:r>
      <w:r>
        <w:rPr>
          <w:b w:val="0"/>
          <w:i/>
          <w:color w:val="5B6E8A"/>
          <w:sz w:val="18"/>
        </w:rPr>
        <w:t>Sign-in and sign-out, who may admit a contractor, escorts, after-hours access, what happens when a record has lapsed, and how keys, cards and codes are issued and returned.</w:t>
      </w:r>
    </w:p>
    <w:p>
      <w:pPr>
        <w:spacing w:after="80"/>
      </w:pPr>
      <w:r>
        <w:rPr>
          <w:b w:val="0"/>
          <w:i w:val="0"/>
          <w:color w:val="0074B7"/>
        </w:rPr>
        <w:t>[Write here]</w:t>
      </w:r>
    </w:p>
    <w:p>
      <w:pPr>
        <w:pStyle w:val="Heading2"/>
      </w:pPr>
      <w:r>
        <w:t>10. Permits &amp; High-Risk Work</w:t>
      </w:r>
    </w:p>
    <w:p>
      <w:pPr>
        <w:spacing w:after="60"/>
      </w:pPr>
      <w:r>
        <w:rPr>
          <w:b/>
          <w:i w:val="0"/>
          <w:color w:val="5B6E8A"/>
          <w:sz w:val="18"/>
        </w:rPr>
        <w:t xml:space="preserve">Guidance: </w:t>
      </w:r>
      <w:r>
        <w:rPr>
          <w:b w:val="0"/>
          <w:i/>
          <w:color w:val="5B6E8A"/>
          <w:sz w:val="18"/>
        </w:rPr>
        <w:t>Which jobs need a permit, who approves, which method statements are reviewed before work starts, and how a permit is closed out.</w:t>
      </w:r>
    </w:p>
    <w:p>
      <w:pPr>
        <w:spacing w:after="80"/>
      </w:pPr>
      <w:r>
        <w:rPr>
          <w:b w:val="0"/>
          <w:i w:val="0"/>
          <w:color w:val="0074B7"/>
        </w:rPr>
        <w:t>[Write here]</w:t>
      </w:r>
    </w:p>
    <w:p>
      <w:pPr>
        <w:pStyle w:val="Heading2"/>
      </w:pPr>
      <w:r>
        <w:t>11. Supervision &amp; Consultation</w:t>
      </w:r>
    </w:p>
    <w:p>
      <w:pPr>
        <w:spacing w:after="60"/>
      </w:pPr>
      <w:r>
        <w:rPr>
          <w:b/>
          <w:i w:val="0"/>
          <w:color w:val="5B6E8A"/>
          <w:sz w:val="18"/>
        </w:rPr>
        <w:t xml:space="preserve">Guidance: </w:t>
      </w:r>
      <w:r>
        <w:rPr>
          <w:b w:val="0"/>
          <w:i/>
          <w:color w:val="5B6E8A"/>
          <w:sz w:val="18"/>
        </w:rPr>
        <w:t>The supervision level for each tier, the pre-start meeting, and how you consult, co-operate and co-ordinate with the contractor and any other duty holder on the site.</w:t>
      </w:r>
    </w:p>
    <w:p>
      <w:pPr>
        <w:spacing w:after="80"/>
      </w:pPr>
      <w:r>
        <w:rPr>
          <w:b w:val="0"/>
          <w:i w:val="0"/>
          <w:color w:val="0074B7"/>
        </w:rPr>
        <w:t>[Write here]</w:t>
      </w:r>
    </w:p>
    <w:p>
      <w:pPr>
        <w:pStyle w:val="Heading2"/>
      </w:pPr>
      <w:r>
        <w:t>12. Incidents &amp; Emergencies</w:t>
      </w:r>
    </w:p>
    <w:p>
      <w:pPr>
        <w:spacing w:after="60"/>
      </w:pPr>
      <w:r>
        <w:rPr>
          <w:b/>
          <w:i w:val="0"/>
          <w:color w:val="5B6E8A"/>
          <w:sz w:val="18"/>
        </w:rPr>
        <w:t xml:space="preserve">Guidance: </w:t>
      </w:r>
      <w:r>
        <w:rPr>
          <w:b w:val="0"/>
          <w:i/>
          <w:color w:val="5B6E8A"/>
          <w:sz w:val="18"/>
        </w:rPr>
        <w:t>The contractor tells the site contact immediately. Name who notifies the regulator and how fast, under your state’s Act, who preserves the site, and how the incident reaches the contractor’s own record as well as the site’s. Write your own state’s rule, not the model Act’s: the notification categories and the timing differ between jurisdictions.</w:t>
      </w:r>
    </w:p>
    <w:p>
      <w:pPr>
        <w:spacing w:after="80"/>
      </w:pPr>
      <w:r>
        <w:rPr>
          <w:b w:val="0"/>
          <w:i w:val="0"/>
          <w:color w:val="0074B7"/>
        </w:rPr>
        <w:t>[Write here]</w:t>
      </w:r>
    </w:p>
    <w:p>
      <w:pPr>
        <w:pStyle w:val="Heading2"/>
      </w:pPr>
      <w:r>
        <w:t>13. Monitoring &amp; Review of Contractors</w:t>
      </w:r>
    </w:p>
    <w:p>
      <w:pPr>
        <w:spacing w:after="60"/>
      </w:pPr>
      <w:r>
        <w:rPr>
          <w:b/>
          <w:i w:val="0"/>
          <w:color w:val="5B6E8A"/>
          <w:sz w:val="18"/>
        </w:rPr>
        <w:t xml:space="preserve">Guidance: </w:t>
      </w:r>
      <w:r>
        <w:rPr>
          <w:b w:val="0"/>
          <w:i/>
          <w:color w:val="5B6E8A"/>
          <w:sz w:val="18"/>
        </w:rPr>
        <w:t>Inspections and audits, what a non-conformance triggers (including stopping work), and the performance review at the end of the job or each year.</w:t>
      </w:r>
    </w:p>
    <w:p>
      <w:pPr>
        <w:spacing w:after="80"/>
      </w:pPr>
      <w:r>
        <w:rPr>
          <w:b w:val="0"/>
          <w:i w:val="0"/>
          <w:color w:val="0074B7"/>
        </w:rPr>
        <w:t>[Write here]</w:t>
      </w:r>
    </w:p>
    <w:p>
      <w:pPr>
        <w:pStyle w:val="Heading2"/>
      </w:pPr>
      <w:r>
        <w:t>14. Close-Out</w:t>
      </w:r>
    </w:p>
    <w:p>
      <w:pPr>
        <w:spacing w:after="60"/>
      </w:pPr>
      <w:r>
        <w:rPr>
          <w:b/>
          <w:i w:val="0"/>
          <w:color w:val="5B6E8A"/>
          <w:sz w:val="18"/>
        </w:rPr>
        <w:t xml:space="preserve">Guidance: </w:t>
      </w:r>
      <w:r>
        <w:rPr>
          <w:b w:val="0"/>
          <w:i/>
          <w:color w:val="5B6E8A"/>
          <w:sz w:val="18"/>
        </w:rPr>
        <w:t>Area made safe, handover, permits closed, every worker’s access removed, open actions closed, and the date and reason the engagement ended.</w:t>
      </w:r>
    </w:p>
    <w:p>
      <w:pPr>
        <w:spacing w:after="80"/>
      </w:pPr>
      <w:r>
        <w:rPr>
          <w:b w:val="0"/>
          <w:i w:val="0"/>
          <w:color w:val="0074B7"/>
        </w:rPr>
        <w:t>[Write here]</w:t>
      </w:r>
    </w:p>
    <w:p>
      <w:pPr>
        <w:pStyle w:val="Heading2"/>
      </w:pPr>
      <w:r>
        <w:t>15. Records</w:t>
      </w:r>
    </w:p>
    <w:p>
      <w:pPr>
        <w:spacing w:after="60"/>
      </w:pPr>
      <w:r>
        <w:rPr>
          <w:b/>
          <w:i w:val="0"/>
          <w:color w:val="5B6E8A"/>
          <w:sz w:val="18"/>
        </w:rPr>
        <w:t xml:space="preserve">Guidance: </w:t>
      </w:r>
      <w:r>
        <w:rPr>
          <w:b w:val="0"/>
          <w:i/>
          <w:color w:val="5B6E8A"/>
          <w:sz w:val="18"/>
        </w:rPr>
        <w:t>What is kept for each contractor, where, for how long under your state’s rules, and who can produce it.</w:t>
      </w:r>
    </w:p>
    <w:p>
      <w:pPr>
        <w:spacing w:after="80"/>
      </w:pPr>
      <w:r>
        <w:rPr>
          <w:b w:val="0"/>
          <w:i w:val="0"/>
          <w:color w:val="0074B7"/>
        </w:rPr>
        <w:t>[Write here]</w:t>
      </w:r>
    </w:p>
    <w:p>
      <w:pPr>
        <w:pStyle w:val="Heading2"/>
      </w:pPr>
      <w:r>
        <w:t>16. Review of This Procedure</w:t>
      </w:r>
    </w:p>
    <w:p>
      <w:pPr>
        <w:spacing w:after="60"/>
      </w:pPr>
      <w:r>
        <w:rPr>
          <w:b/>
          <w:i w:val="0"/>
          <w:color w:val="5B6E8A"/>
          <w:sz w:val="18"/>
        </w:rPr>
        <w:t xml:space="preserve">Guidance: </w:t>
      </w:r>
      <w:r>
        <w:rPr>
          <w:b w:val="0"/>
          <w:i/>
          <w:color w:val="5B6E8A"/>
          <w:sz w:val="18"/>
        </w:rPr>
        <w:t>The interval, and the triggers that bring a review forward: a serious incident, a change in the law, a change in the work.</w:t>
      </w:r>
    </w:p>
    <w:p>
      <w:pPr>
        <w:spacing w:after="80"/>
      </w:pPr>
      <w:r>
        <w:rPr>
          <w:b w:val="0"/>
          <w:i w:val="0"/>
          <w:color w:val="0074B7"/>
        </w:rPr>
        <w:t>[Write here]</w:t>
      </w:r>
    </w:p>
    <w:p>
      <w:pPr>
        <w:pStyle w:val="Heading1"/>
      </w:pPr>
      <w:r>
        <w:t>Part B: Contractor Tiers</w:t>
      </w:r>
    </w:p>
    <w:p>
      <w:r>
        <w:rPr>
          <w:b w:val="0"/>
          <w:i w:val="0"/>
          <w:color w:val="2F2F2F"/>
        </w:rPr>
        <w:t>An example set from property and facilities management and from transport and logistics. It is not law. Change the tiers, the work and the checks to match your own risks.</w:t>
      </w:r>
    </w:p>
    <w:tbl>
      <w:tblPr>
        <w:tblW w:type="auto" w:w="0"/>
        <w:jc w:val="center"/>
        <w:tblLayout w:type="fixed"/>
        <w:tblLook w:firstColumn="1" w:firstRow="1" w:lastColumn="0" w:lastRow="0" w:noHBand="0" w:noVBand="1" w:val="04A0"/>
        <w:tblBorders>
          <w:top w:val="single" w:sz="4" w:space="0" w:color="DCE5ED"/>
          <w:left w:val="single" w:sz="4" w:space="0" w:color="DCE5ED"/>
          <w:bottom w:val="single" w:sz="4" w:space="0" w:color="DCE5ED"/>
          <w:right w:val="single" w:sz="4" w:space="0" w:color="DCE5ED"/>
          <w:insideH w:val="single" w:sz="4" w:space="0" w:color="DCE5ED"/>
          <w:insideV w:val="single" w:sz="4" w:space="0" w:color="DCE5ED"/>
        </w:tblBorders>
        <w:tblCellMar>
          <w:top w:w="70" w:type="dxa"/>
          <w:left w:w="110" w:type="dxa"/>
          <w:bottom w:w="70" w:type="dxa"/>
          <w:right w:w="110" w:type="dxa"/>
        </w:tblCellMar>
      </w:tblPr>
      <w:tblGrid>
        <w:gridCol w:w="2409"/>
        <w:gridCol w:w="2409"/>
        <w:gridCol w:w="2409"/>
        <w:gridCol w:w="2409"/>
      </w:tblGrid>
      <w:tr>
        <w:trPr>
          <w:tblHeader w:val="true"/>
        </w:trPr>
        <w:tc>
          <w:tcPr>
            <w:tcW w:type="dxa" w:w="1474"/>
            <w:shd w:val="clear" w:color="auto" w:fill="0074B7"/>
          </w:tcPr>
          <w:p>
            <w:pPr>
              <w:spacing w:after="0"/>
            </w:pPr>
            <w:r>
              <w:rPr>
                <w:rFonts w:ascii="Plus Jakarta Sans" w:hAnsi="Plus Jakarta Sans" w:eastAsia="Plus Jakarta Sans"/>
                <w:b/>
                <w:i w:val="0"/>
                <w:color w:val="FFFFFF"/>
                <w:sz w:val="19"/>
              </w:rPr>
              <w:t>Tier</w:t>
            </w:r>
          </w:p>
        </w:tc>
        <w:tc>
          <w:tcPr>
            <w:tcW w:type="dxa" w:w="2608"/>
            <w:shd w:val="clear" w:color="auto" w:fill="0074B7"/>
          </w:tcPr>
          <w:p>
            <w:pPr>
              <w:spacing w:after="0"/>
            </w:pPr>
            <w:r>
              <w:rPr>
                <w:rFonts w:ascii="Plus Jakarta Sans" w:hAnsi="Plus Jakarta Sans" w:eastAsia="Plus Jakarta Sans"/>
                <w:b/>
                <w:i w:val="0"/>
                <w:color w:val="FFFFFF"/>
                <w:sz w:val="19"/>
              </w:rPr>
              <w:t>Typical work</w:t>
            </w:r>
          </w:p>
        </w:tc>
        <w:tc>
          <w:tcPr>
            <w:tcW w:type="dxa" w:w="3402"/>
            <w:shd w:val="clear" w:color="auto" w:fill="0074B7"/>
          </w:tcPr>
          <w:p>
            <w:pPr>
              <w:spacing w:after="0"/>
            </w:pPr>
            <w:r>
              <w:rPr>
                <w:rFonts w:ascii="Plus Jakarta Sans" w:hAnsi="Plus Jakarta Sans" w:eastAsia="Plus Jakarta Sans"/>
                <w:b/>
                <w:i w:val="0"/>
                <w:color w:val="FFFFFF"/>
                <w:sz w:val="19"/>
              </w:rPr>
              <w:t>Minimum before work</w:t>
            </w:r>
          </w:p>
        </w:tc>
        <w:tc>
          <w:tcPr>
            <w:tcW w:type="dxa" w:w="2154"/>
            <w:shd w:val="clear" w:color="auto" w:fill="0074B7"/>
          </w:tcPr>
          <w:p>
            <w:pPr>
              <w:spacing w:after="0"/>
            </w:pPr>
            <w:r>
              <w:rPr>
                <w:rFonts w:ascii="Plus Jakarta Sans" w:hAnsi="Plus Jakarta Sans" w:eastAsia="Plus Jakarta Sans"/>
                <w:b/>
                <w:i w:val="0"/>
                <w:color w:val="FFFFFF"/>
                <w:sz w:val="19"/>
              </w:rPr>
              <w:t>Supervision</w:t>
            </w:r>
          </w:p>
        </w:tc>
      </w:tr>
      <w:tr>
        <w:trPr>
          <w:cantSplit w:val="true"/>
        </w:trPr>
        <w:tc>
          <w:tcPr>
            <w:tcW w:type="dxa" w:w="1474"/>
            <w:shd w:val="clear" w:color="auto" w:fill="FFFFFF"/>
          </w:tcPr>
          <w:p>
            <w:pPr>
              <w:spacing w:after="0" w:line="288" w:lineRule="auto"/>
            </w:pPr>
            <w:r>
              <w:rPr>
                <w:b/>
                <w:i w:val="0"/>
                <w:color w:val="173557"/>
                <w:sz w:val="19"/>
              </w:rPr>
              <w:t>1. Low</w:t>
            </w:r>
          </w:p>
        </w:tc>
        <w:tc>
          <w:tcPr>
            <w:tcW w:type="dxa" w:w="2608"/>
            <w:shd w:val="clear" w:color="auto" w:fill="FFFFFF"/>
          </w:tcPr>
          <w:p>
            <w:pPr>
              <w:spacing w:after="0" w:line="288" w:lineRule="auto"/>
            </w:pPr>
            <w:r>
              <w:rPr>
                <w:b w:val="0"/>
                <w:i w:val="0"/>
                <w:sz w:val="19"/>
              </w:rPr>
              <w:t>A courier or delivery that stays at the dock; a consultant in an office</w:t>
            </w:r>
          </w:p>
        </w:tc>
        <w:tc>
          <w:tcPr>
            <w:tcW w:type="dxa" w:w="3402"/>
            <w:shd w:val="clear" w:color="auto" w:fill="FFFFFF"/>
          </w:tcPr>
          <w:p>
            <w:pPr>
              <w:spacing w:after="0" w:line="288" w:lineRule="auto"/>
            </w:pPr>
            <w:r>
              <w:rPr>
                <w:b w:val="0"/>
                <w:i w:val="0"/>
                <w:sz w:val="19"/>
              </w:rPr>
              <w:t>Identity, sign-in, a short briefing on site rules</w:t>
            </w:r>
          </w:p>
        </w:tc>
        <w:tc>
          <w:tcPr>
            <w:tcW w:type="dxa" w:w="2154"/>
            <w:shd w:val="clear" w:color="auto" w:fill="FFFFFF"/>
          </w:tcPr>
          <w:p>
            <w:pPr>
              <w:spacing w:after="0" w:line="288" w:lineRule="auto"/>
            </w:pPr>
            <w:r>
              <w:rPr>
                <w:b w:val="0"/>
                <w:i w:val="0"/>
                <w:sz w:val="19"/>
              </w:rPr>
              <w:t>Sign-in only</w:t>
            </w:r>
          </w:p>
        </w:tc>
      </w:tr>
      <w:tr>
        <w:trPr>
          <w:cantSplit w:val="true"/>
        </w:trPr>
        <w:tc>
          <w:tcPr>
            <w:tcW w:type="dxa" w:w="1474"/>
            <w:shd w:val="clear" w:color="auto" w:fill="F8F9FD"/>
          </w:tcPr>
          <w:p>
            <w:pPr>
              <w:spacing w:after="0" w:line="288" w:lineRule="auto"/>
            </w:pPr>
            <w:r>
              <w:rPr>
                <w:b/>
                <w:i w:val="0"/>
                <w:color w:val="173557"/>
                <w:sz w:val="19"/>
              </w:rPr>
              <w:t>2. Medium</w:t>
            </w:r>
          </w:p>
        </w:tc>
        <w:tc>
          <w:tcPr>
            <w:tcW w:type="dxa" w:w="2608"/>
            <w:shd w:val="clear" w:color="auto" w:fill="F8F9FD"/>
          </w:tcPr>
          <w:p>
            <w:pPr>
              <w:spacing w:after="0" w:line="288" w:lineRule="auto"/>
            </w:pPr>
            <w:r>
              <w:rPr>
                <w:b w:val="0"/>
                <w:i w:val="0"/>
                <w:sz w:val="19"/>
              </w:rPr>
              <w:t>Cleaning, landscaping, pest control, an IT technician</w:t>
            </w:r>
          </w:p>
        </w:tc>
        <w:tc>
          <w:tcPr>
            <w:tcW w:type="dxa" w:w="3402"/>
            <w:shd w:val="clear" w:color="auto" w:fill="F8F9FD"/>
          </w:tcPr>
          <w:p>
            <w:pPr>
              <w:spacing w:after="0" w:line="288" w:lineRule="auto"/>
            </w:pPr>
            <w:r>
              <w:rPr>
                <w:b w:val="0"/>
                <w:i w:val="0"/>
                <w:sz w:val="19"/>
              </w:rPr>
              <w:t>Insurance certificates read, a summary of the company’s safety system, each worker inducted</w:t>
            </w:r>
          </w:p>
        </w:tc>
        <w:tc>
          <w:tcPr>
            <w:tcW w:type="dxa" w:w="2154"/>
            <w:shd w:val="clear" w:color="auto" w:fill="F8F9FD"/>
          </w:tcPr>
          <w:p>
            <w:pPr>
              <w:spacing w:after="0" w:line="288" w:lineRule="auto"/>
            </w:pPr>
            <w:r>
              <w:rPr>
                <w:b w:val="0"/>
                <w:i w:val="0"/>
                <w:sz w:val="19"/>
              </w:rPr>
              <w:t>Periodic spot checks</w:t>
            </w:r>
          </w:p>
        </w:tc>
      </w:tr>
      <w:tr>
        <w:trPr>
          <w:cantSplit w:val="true"/>
        </w:trPr>
        <w:tc>
          <w:tcPr>
            <w:tcW w:type="dxa" w:w="1474"/>
            <w:shd w:val="clear" w:color="auto" w:fill="FFFFFF"/>
          </w:tcPr>
          <w:p>
            <w:pPr>
              <w:spacing w:after="0" w:line="288" w:lineRule="auto"/>
            </w:pPr>
            <w:r>
              <w:rPr>
                <w:b/>
                <w:i w:val="0"/>
                <w:color w:val="173557"/>
                <w:sz w:val="19"/>
              </w:rPr>
              <w:t>3. High</w:t>
            </w:r>
          </w:p>
        </w:tc>
        <w:tc>
          <w:tcPr>
            <w:tcW w:type="dxa" w:w="2608"/>
            <w:shd w:val="clear" w:color="auto" w:fill="FFFFFF"/>
          </w:tcPr>
          <w:p>
            <w:pPr>
              <w:spacing w:after="0" w:line="288" w:lineRule="auto"/>
            </w:pPr>
            <w:r>
              <w:rPr>
                <w:b w:val="0"/>
                <w:i w:val="0"/>
                <w:sz w:val="19"/>
              </w:rPr>
              <w:t>Electrical work, lift or escalator repair, racking or dock leveller repair, work on a plant roof</w:t>
            </w:r>
          </w:p>
        </w:tc>
        <w:tc>
          <w:tcPr>
            <w:tcW w:type="dxa" w:w="3402"/>
            <w:shd w:val="clear" w:color="auto" w:fill="FFFFFF"/>
          </w:tcPr>
          <w:p>
            <w:pPr>
              <w:spacing w:after="0" w:line="288" w:lineRule="auto"/>
            </w:pPr>
            <w:r>
              <w:rPr>
                <w:b w:val="0"/>
                <w:i w:val="0"/>
                <w:sz w:val="19"/>
              </w:rPr>
              <w:t>Tier 2, plus the method statement reviewed before start, written evidence of each worker’s licence where one is required, and a permit</w:t>
            </w:r>
          </w:p>
        </w:tc>
        <w:tc>
          <w:tcPr>
            <w:tcW w:type="dxa" w:w="2154"/>
            <w:shd w:val="clear" w:color="auto" w:fill="FFFFFF"/>
          </w:tcPr>
          <w:p>
            <w:pPr>
              <w:spacing w:after="0" w:line="288" w:lineRule="auto"/>
            </w:pPr>
            <w:r>
              <w:rPr>
                <w:b w:val="0"/>
                <w:i w:val="0"/>
                <w:sz w:val="19"/>
              </w:rPr>
              <w:t>Close: a named supervisor and a pre-start meeting each visit</w:t>
            </w:r>
          </w:p>
        </w:tc>
      </w:tr>
      <w:tr>
        <w:trPr>
          <w:cantSplit w:val="true"/>
        </w:trPr>
        <w:tc>
          <w:tcPr>
            <w:tcW w:type="dxa" w:w="1474"/>
            <w:shd w:val="clear" w:color="auto" w:fill="F8F9FD"/>
          </w:tcPr>
          <w:p>
            <w:pPr>
              <w:spacing w:after="0" w:line="288" w:lineRule="auto"/>
            </w:pPr>
            <w:r>
              <w:rPr>
                <w:b/>
                <w:i w:val="0"/>
                <w:color w:val="173557"/>
                <w:sz w:val="19"/>
              </w:rPr>
              <w:t>4. Specialist</w:t>
            </w:r>
          </w:p>
        </w:tc>
        <w:tc>
          <w:tcPr>
            <w:tcW w:type="dxa" w:w="2608"/>
            <w:shd w:val="clear" w:color="auto" w:fill="F8F9FD"/>
          </w:tcPr>
          <w:p>
            <w:pPr>
              <w:spacing w:after="0" w:line="288" w:lineRule="auto"/>
            </w:pPr>
            <w:r>
              <w:rPr>
                <w:b w:val="0"/>
                <w:i w:val="0"/>
                <w:sz w:val="19"/>
              </w:rPr>
              <w:t>Asbestos removal, hazardous substances</w:t>
            </w:r>
          </w:p>
        </w:tc>
        <w:tc>
          <w:tcPr>
            <w:tcW w:type="dxa" w:w="3402"/>
            <w:shd w:val="clear" w:color="auto" w:fill="F8F9FD"/>
          </w:tcPr>
          <w:p>
            <w:pPr>
              <w:spacing w:after="0" w:line="288" w:lineRule="auto"/>
            </w:pPr>
            <w:r>
              <w:rPr>
                <w:b w:val="0"/>
                <w:i w:val="0"/>
                <w:sz w:val="19"/>
              </w:rPr>
              <w:t>A licensed removalist for asbestos removal, which the model Regulations require; work under the exception for 10 square metres or less of non-friable asbestos must still be done by a competent, trained person</w:t>
            </w:r>
          </w:p>
        </w:tc>
        <w:tc>
          <w:tcPr>
            <w:tcW w:type="dxa" w:w="2154"/>
            <w:shd w:val="clear" w:color="auto" w:fill="F8F9FD"/>
          </w:tcPr>
          <w:p>
            <w:pPr>
              <w:spacing w:after="0" w:line="288" w:lineRule="auto"/>
            </w:pPr>
            <w:r>
              <w:rPr>
                <w:b w:val="0"/>
                <w:i w:val="0"/>
                <w:sz w:val="19"/>
              </w:rPr>
              <w:t>Managed by a named owner for the specialty</w:t>
            </w:r>
          </w:p>
        </w:tc>
      </w:tr>
      <w:tr>
        <w:trPr>
          <w:cantSplit w:val="true"/>
        </w:trPr>
        <w:tc>
          <w:tcPr>
            <w:tcW w:type="dxa" w:w="1474"/>
            <w:shd w:val="clear" w:color="auto" w:fill="FFFFFF"/>
          </w:tcPr>
          <w:p>
            <w:pPr>
              <w:spacing w:after="0" w:line="288" w:lineRule="auto"/>
            </w:pPr>
            <w:r>
              <w:rPr>
                <w:b/>
                <w:i w:val="0"/>
                <w:color w:val="173557"/>
                <w:sz w:val="19"/>
              </w:rPr>
              <w:t>5. Principal contractor</w:t>
            </w:r>
          </w:p>
        </w:tc>
        <w:tc>
          <w:tcPr>
            <w:tcW w:type="dxa" w:w="2608"/>
            <w:shd w:val="clear" w:color="auto" w:fill="FFFFFF"/>
          </w:tcPr>
          <w:p>
            <w:pPr>
              <w:spacing w:after="0" w:line="288" w:lineRule="auto"/>
            </w:pPr>
            <w:r>
              <w:rPr>
                <w:b w:val="0"/>
                <w:i w:val="0"/>
                <w:sz w:val="19"/>
              </w:rPr>
              <w:t>A construction project of AU$250,000 or more under the model Regulations (AU$350,000 in Victoria)</w:t>
            </w:r>
          </w:p>
        </w:tc>
        <w:tc>
          <w:tcPr>
            <w:tcW w:type="dxa" w:w="3402"/>
            <w:shd w:val="clear" w:color="auto" w:fill="FFFFFF"/>
          </w:tcPr>
          <w:p>
            <w:pPr>
              <w:spacing w:after="0" w:line="288" w:lineRule="auto"/>
            </w:pPr>
            <w:r>
              <w:rPr>
                <w:b w:val="0"/>
                <w:i w:val="0"/>
                <w:sz w:val="19"/>
              </w:rPr>
              <w:t>A written WHS management plan from the principal contractor before work starts (in Victoria, a health and safety co-ordination plan, regulation 335)</w:t>
            </w:r>
          </w:p>
        </w:tc>
        <w:tc>
          <w:tcPr>
            <w:tcW w:type="dxa" w:w="2154"/>
            <w:shd w:val="clear" w:color="auto" w:fill="FFFFFF"/>
          </w:tcPr>
          <w:p>
            <w:pPr>
              <w:spacing w:after="0" w:line="288" w:lineRule="auto"/>
            </w:pPr>
            <w:r>
              <w:rPr>
                <w:b w:val="0"/>
                <w:i w:val="0"/>
                <w:sz w:val="19"/>
              </w:rPr>
              <w:t>Run by the principal contractor, with your coordination</w:t>
            </w:r>
          </w:p>
        </w:tc>
      </w:tr>
    </w:tbl>
    <w:p>
      <w:pPr>
        <w:spacing w:before="120"/>
      </w:pPr>
      <w:r>
        <w:rPr>
          <w:b w:val="0"/>
          <w:i/>
          <w:color w:val="5B6E8A"/>
          <w:sz w:val="18"/>
        </w:rPr>
        <w:t>Check the numbers and the exceptions against your own state’s Regulation before you rely on them.</w:t>
      </w:r>
    </w:p>
    <w:p>
      <w:pPr>
        <w:pStyle w:val="Heading1"/>
      </w:pPr>
      <w:r>
        <w:t>Part C: The Plan for One Engagement</w:t>
      </w:r>
    </w:p>
    <w:p>
      <w:r>
        <w:rPr>
          <w:b w:val="0"/>
          <w:i w:val="0"/>
          <w:color w:val="2F2F2F"/>
        </w:rPr>
        <w:t>A plan is the shortest document in the set. For a tier 2 contractor, one page is plenty; for a tier 3 job that runs for months, expect three or four. The headings are fixed, and the content under them is specific to the job.</w:t>
      </w:r>
    </w:p>
    <w:p>
      <w:pPr>
        <w:pStyle w:val="Heading2"/>
      </w:pPr>
      <w:r>
        <w:t>1. Engagement Summary</w:t>
      </w:r>
    </w:p>
    <w:p>
      <w:pPr>
        <w:spacing w:after="60"/>
      </w:pPr>
      <w:r>
        <w:rPr>
          <w:b/>
          <w:i w:val="0"/>
          <w:color w:val="5B6E8A"/>
          <w:sz w:val="18"/>
        </w:rPr>
        <w:t xml:space="preserve">Guidance: </w:t>
      </w:r>
      <w:r>
        <w:rPr>
          <w:b w:val="0"/>
          <w:i/>
          <w:color w:val="5B6E8A"/>
          <w:sz w:val="18"/>
        </w:rPr>
        <w:t>Contractor, ABN, site or sites, start and end dates, tier, a one-paragraph scope, and every subcontractor named.</w:t>
      </w:r>
    </w:p>
    <w:p>
      <w:pPr>
        <w:spacing w:after="80"/>
      </w:pPr>
      <w:r>
        <w:rPr>
          <w:b w:val="0"/>
          <w:i w:val="0"/>
          <w:color w:val="0074B7"/>
        </w:rPr>
        <w:t>[Write here]</w:t>
      </w:r>
    </w:p>
    <w:p>
      <w:pPr>
        <w:pStyle w:val="Heading2"/>
      </w:pPr>
      <w:r>
        <w:t>2. People &amp; Contacts</w:t>
      </w:r>
    </w:p>
    <w:p>
      <w:pPr>
        <w:spacing w:after="60"/>
      </w:pPr>
      <w:r>
        <w:rPr>
          <w:b/>
          <w:i w:val="0"/>
          <w:color w:val="5B6E8A"/>
          <w:sz w:val="18"/>
        </w:rPr>
        <w:t xml:space="preserve">Guidance: </w:t>
      </w:r>
      <w:r>
        <w:rPr>
          <w:b w:val="0"/>
          <w:i/>
          <w:color w:val="5B6E8A"/>
          <w:sz w:val="18"/>
        </w:rPr>
        <w:t>The contractor’s supervisor, your site contact, the safety contact, and the after-hours and emergency numbers.</w:t>
      </w:r>
    </w:p>
    <w:p>
      <w:pPr>
        <w:spacing w:after="80"/>
      </w:pPr>
      <w:r>
        <w:rPr>
          <w:b w:val="0"/>
          <w:i w:val="0"/>
          <w:color w:val="0074B7"/>
        </w:rPr>
        <w:t>[Write here]</w:t>
      </w:r>
    </w:p>
    <w:p>
      <w:pPr>
        <w:pStyle w:val="Heading2"/>
      </w:pPr>
      <w:r>
        <w:t>3. Before the First Visit</w:t>
      </w:r>
    </w:p>
    <w:p>
      <w:pPr>
        <w:spacing w:after="60"/>
      </w:pPr>
      <w:r>
        <w:rPr>
          <w:b/>
          <w:i w:val="0"/>
          <w:color w:val="5B6E8A"/>
          <w:sz w:val="18"/>
        </w:rPr>
        <w:t xml:space="preserve">Guidance: </w:t>
      </w:r>
      <w:r>
        <w:rPr>
          <w:b w:val="0"/>
          <w:i/>
          <w:color w:val="5B6E8A"/>
          <w:sz w:val="18"/>
        </w:rPr>
        <w:t>The evidence required for the tier, the method statements to be reviewed, the licences and inductions needed, who confirms each item, and by when.</w:t>
      </w:r>
    </w:p>
    <w:p>
      <w:pPr>
        <w:spacing w:after="80"/>
      </w:pPr>
      <w:r>
        <w:rPr>
          <w:b w:val="0"/>
          <w:i w:val="0"/>
          <w:color w:val="0074B7"/>
        </w:rPr>
        <w:t>[Write here]</w:t>
      </w:r>
    </w:p>
    <w:p>
      <w:pPr>
        <w:pStyle w:val="Heading2"/>
      </w:pPr>
      <w:r>
        <w:t>4. Site Hazards &amp; Controls</w:t>
      </w:r>
    </w:p>
    <w:p>
      <w:pPr>
        <w:spacing w:after="60"/>
      </w:pPr>
      <w:r>
        <w:rPr>
          <w:b/>
          <w:i w:val="0"/>
          <w:color w:val="5B6E8A"/>
          <w:sz w:val="18"/>
        </w:rPr>
        <w:t xml:space="preserve">Guidance: </w:t>
      </w:r>
      <w:r>
        <w:rPr>
          <w:b w:val="0"/>
          <w:i/>
          <w:color w:val="5B6E8A"/>
          <w:sz w:val="18"/>
        </w:rPr>
        <w:t>What is specific to this site: the asbestos register where it applies, live plant and energy sources, traffic and pedestrians, other contractors and tenants working nearby, the controls agreed and who is responsible for each.</w:t>
      </w:r>
    </w:p>
    <w:p>
      <w:pPr>
        <w:spacing w:after="80"/>
      </w:pPr>
      <w:r>
        <w:rPr>
          <w:b w:val="0"/>
          <w:i w:val="0"/>
          <w:color w:val="0074B7"/>
        </w:rPr>
        <w:t>[Write here]</w:t>
      </w:r>
    </w:p>
    <w:p>
      <w:pPr>
        <w:pStyle w:val="Heading2"/>
      </w:pPr>
      <w:r>
        <w:t>5. Access &amp; Hours</w:t>
      </w:r>
    </w:p>
    <w:p>
      <w:pPr>
        <w:spacing w:after="60"/>
      </w:pPr>
      <w:r>
        <w:rPr>
          <w:b/>
          <w:i w:val="0"/>
          <w:color w:val="5B6E8A"/>
          <w:sz w:val="18"/>
        </w:rPr>
        <w:t xml:space="preserve">Guidance: </w:t>
      </w:r>
      <w:r>
        <w:rPr>
          <w:b w:val="0"/>
          <w:i/>
          <w:color w:val="5B6E8A"/>
          <w:sz w:val="18"/>
        </w:rPr>
        <w:t>Entry points, working hours, escort rules, key and code arrangements, parking and storage.</w:t>
      </w:r>
    </w:p>
    <w:p>
      <w:pPr>
        <w:spacing w:after="80"/>
      </w:pPr>
      <w:r>
        <w:rPr>
          <w:b w:val="0"/>
          <w:i w:val="0"/>
          <w:color w:val="0074B7"/>
        </w:rPr>
        <w:t>[Write here]</w:t>
      </w:r>
    </w:p>
    <w:p>
      <w:pPr>
        <w:pStyle w:val="Heading2"/>
      </w:pPr>
      <w:r>
        <w:t>6. Permits</w:t>
      </w:r>
    </w:p>
    <w:p>
      <w:pPr>
        <w:spacing w:after="60"/>
      </w:pPr>
      <w:r>
        <w:rPr>
          <w:b/>
          <w:i w:val="0"/>
          <w:color w:val="5B6E8A"/>
          <w:sz w:val="18"/>
        </w:rPr>
        <w:t xml:space="preserve">Guidance: </w:t>
      </w:r>
      <w:r>
        <w:rPr>
          <w:b w:val="0"/>
          <w:i/>
          <w:color w:val="5B6E8A"/>
          <w:sz w:val="18"/>
        </w:rPr>
        <w:t>Which permits this job will need and who approves each.</w:t>
      </w:r>
    </w:p>
    <w:p>
      <w:pPr>
        <w:spacing w:after="80"/>
      </w:pPr>
      <w:r>
        <w:rPr>
          <w:b w:val="0"/>
          <w:i w:val="0"/>
          <w:color w:val="0074B7"/>
        </w:rPr>
        <w:t>[Write here]</w:t>
      </w:r>
    </w:p>
    <w:p>
      <w:pPr>
        <w:pStyle w:val="Heading2"/>
      </w:pPr>
      <w:r>
        <w:t>7. Supervision &amp; Communication</w:t>
      </w:r>
    </w:p>
    <w:p>
      <w:pPr>
        <w:spacing w:after="60"/>
      </w:pPr>
      <w:r>
        <w:rPr>
          <w:b/>
          <w:i w:val="0"/>
          <w:color w:val="5B6E8A"/>
          <w:sz w:val="18"/>
        </w:rPr>
        <w:t xml:space="preserve">Guidance: </w:t>
      </w:r>
      <w:r>
        <w:rPr>
          <w:b w:val="0"/>
          <w:i/>
          <w:color w:val="5B6E8A"/>
          <w:sz w:val="18"/>
        </w:rPr>
        <w:t>The supervision level, pre-start meetings, how a change in scope is approved, and how you consult and co-ordinate with the other duty holders on the site.</w:t>
      </w:r>
    </w:p>
    <w:p>
      <w:pPr>
        <w:spacing w:after="80"/>
      </w:pPr>
      <w:r>
        <w:rPr>
          <w:b w:val="0"/>
          <w:i w:val="0"/>
          <w:color w:val="0074B7"/>
        </w:rPr>
        <w:t>[Write here]</w:t>
      </w:r>
    </w:p>
    <w:p>
      <w:pPr>
        <w:pStyle w:val="Heading2"/>
      </w:pPr>
      <w:r>
        <w:t>8. Incidents &amp; Emergencies</w:t>
      </w:r>
    </w:p>
    <w:p>
      <w:pPr>
        <w:spacing w:after="60"/>
      </w:pPr>
      <w:r>
        <w:rPr>
          <w:b/>
          <w:i w:val="0"/>
          <w:color w:val="5B6E8A"/>
          <w:sz w:val="18"/>
        </w:rPr>
        <w:t xml:space="preserve">Guidance: </w:t>
      </w:r>
      <w:r>
        <w:rPr>
          <w:b w:val="0"/>
          <w:i/>
          <w:color w:val="5B6E8A"/>
          <w:sz w:val="18"/>
        </w:rPr>
        <w:t>Who to call, first aid, evacuation, how an incident is reported and who notifies the regulator.</w:t>
      </w:r>
    </w:p>
    <w:p>
      <w:pPr>
        <w:spacing w:after="80"/>
      </w:pPr>
      <w:r>
        <w:rPr>
          <w:b w:val="0"/>
          <w:i w:val="0"/>
          <w:color w:val="0074B7"/>
        </w:rPr>
        <w:t>[Write here]</w:t>
      </w:r>
    </w:p>
    <w:p>
      <w:pPr>
        <w:pStyle w:val="Heading2"/>
      </w:pPr>
      <w:r>
        <w:t>9. Checks During the Work</w:t>
      </w:r>
    </w:p>
    <w:p>
      <w:pPr>
        <w:spacing w:after="60"/>
      </w:pPr>
      <w:r>
        <w:rPr>
          <w:b/>
          <w:i w:val="0"/>
          <w:color w:val="5B6E8A"/>
          <w:sz w:val="18"/>
        </w:rPr>
        <w:t xml:space="preserve">Guidance: </w:t>
      </w:r>
      <w:r>
        <w:rPr>
          <w:b w:val="0"/>
          <w:i/>
          <w:color w:val="5B6E8A"/>
          <w:sz w:val="18"/>
        </w:rPr>
        <w:t>Who inspects, how often, what they look for, and what triggers stopping work.</w:t>
      </w:r>
    </w:p>
    <w:p>
      <w:pPr>
        <w:spacing w:after="80"/>
      </w:pPr>
      <w:r>
        <w:rPr>
          <w:b w:val="0"/>
          <w:i w:val="0"/>
          <w:color w:val="0074B7"/>
        </w:rPr>
        <w:t>[Write here]</w:t>
      </w:r>
    </w:p>
    <w:p>
      <w:pPr>
        <w:pStyle w:val="Heading2"/>
      </w:pPr>
      <w:r>
        <w:t>10. Completion</w:t>
      </w:r>
    </w:p>
    <w:p>
      <w:pPr>
        <w:spacing w:after="60"/>
      </w:pPr>
      <w:r>
        <w:rPr>
          <w:b/>
          <w:i w:val="0"/>
          <w:color w:val="5B6E8A"/>
          <w:sz w:val="18"/>
        </w:rPr>
        <w:t xml:space="preserve">Guidance: </w:t>
      </w:r>
      <w:r>
        <w:rPr>
          <w:b w:val="0"/>
          <w:i/>
          <w:color w:val="5B6E8A"/>
          <w:sz w:val="18"/>
        </w:rPr>
        <w:t>Handover, permits closed, access removed, the review meeting and the performance record.</w:t>
      </w:r>
    </w:p>
    <w:p>
      <w:pPr>
        <w:spacing w:after="80"/>
      </w:pPr>
      <w:r>
        <w:rPr>
          <w:b w:val="0"/>
          <w:i w:val="0"/>
          <w:color w:val="0074B7"/>
        </w:rPr>
        <w:t>[Write here]</w:t>
      </w:r>
    </w:p>
    <w:sectPr w:rsidR="00FC693F" w:rsidRPr="0006063C" w:rsidSect="00034616">
      <w:footerReference w:type="default" r:id="rId9"/>
      <w:pgSz w:w="11906" w:h="16838"/>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Pr>
    <w:r>
      <w:rPr>
        <w:b w:val="0"/>
        <w:i w:val="0"/>
        <w:color w:val="5B6E8A"/>
        <w:sz w:val="16"/>
      </w:rPr>
      <w:t xml:space="preserve">ComplyFlow  |  www.complyflow.com  |  Contractor management procedure and plan template  |  Page </w:t>
    </w:r>
    <w:r>
      <w:rPr>
        <w:color w:val="5B6E8A"/>
        <w:sz w:val="16"/>
      </w:rPr>
      <w:fldChar w:fldCharType="begin"/>
      <w:instrText xml:space="preserve"> PAGE </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300" w:lineRule="auto"/>
    </w:pPr>
    <w:rPr>
      <w:rFonts w:ascii="Inter" w:hAnsi="Inter" w:cs="Inter" w:eastAsia="Inter"/>
      <w:b w:val="0"/>
      <w:i w:val="0"/>
      <w:color w:val="2F2F2F"/>
      <w:sz w:val="20"/>
      <w:lang w:val="en-AU"/>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40" w:after="160"/>
      <w:outlineLvl w:val="0"/>
    </w:pPr>
    <w:rPr>
      <w:rFonts w:ascii="Plus Jakarta Sans" w:hAnsi="Plus Jakarta Sans" w:cs="Plus Jakarta Sans" w:eastAsia="Plus Jakarta Sans"/>
      <w:b/>
      <w:bCs/>
      <w:i w:val="0"/>
      <w:color w:val="0074B7"/>
      <w:sz w:val="36"/>
      <w:szCs w:val="28"/>
      <w:lang w:val="en-AU"/>
    </w:rPr>
  </w:style>
  <w:style w:type="paragraph" w:styleId="Heading2">
    <w:name w:val="heading 2"/>
    <w:basedOn w:val="Normal"/>
    <w:next w:val="Normal"/>
    <w:link w:val="Heading2Char"/>
    <w:uiPriority w:val="9"/>
    <w:unhideWhenUsed/>
    <w:qFormat/>
    <w:rsid w:val="00FC693F"/>
    <w:pPr>
      <w:keepNext/>
      <w:keepLines/>
      <w:spacing w:before="280" w:after="60"/>
      <w:outlineLvl w:val="1"/>
    </w:pPr>
    <w:rPr>
      <w:rFonts w:ascii="Plus Jakarta Sans" w:hAnsi="Plus Jakarta Sans" w:cs="Plus Jakarta Sans" w:eastAsia="Plus Jakarta Sans"/>
      <w:b/>
      <w:bCs/>
      <w:i w:val="0"/>
      <w:color w:val="173557"/>
      <w:sz w:val="24"/>
      <w:szCs w:val="26"/>
      <w:lang w:val="en-AU"/>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40" w:lineRule="auto"/>
      <w:contextualSpacing/>
    </w:pPr>
    <w:rPr>
      <w:rFonts w:ascii="Plus Jakarta Sans" w:hAnsi="Plus Jakarta Sans" w:cs="Plus Jakarta Sans" w:eastAsia="Plus Jakarta Sans"/>
      <w:b/>
      <w:i w:val="0"/>
      <w:color w:val="173557"/>
      <w:spacing w:val="5"/>
      <w:kern w:val="28"/>
      <w:sz w:val="52"/>
      <w:szCs w:val="52"/>
      <w:lang w:val="en-AU"/>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Inter" w:hAnsi="Inter" w:cs="Inter" w:eastAsia="Inter"/>
      <w:b w:val="0"/>
      <w:i w:val="0"/>
      <w:color w:val="2F2F2F"/>
      <w:sz w:val="20"/>
      <w:lang w:val="en-AU"/>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Contractor Management Procedure and Plan Template</dc:title>
  <dc:subject>Contractor management</dc:subject>
  <dc:creator>ComplyFlow</dc:creator>
  <cp:keywords/>
  <dc:description>Template, not legal advice.</dc:description>
  <cp:lastModifiedBy/>
  <cp:revision>1</cp:revision>
  <dcterms:created xsi:type="dcterms:W3CDTF">2013-12-23T23:15:00Z</dcterms:created>
  <dcterms:modified xsi:type="dcterms:W3CDTF">2013-12-23T23:15:00Z</dcterms:modified>
  <cp:category/>
  <dc:language>en-AU</dc:language>
</cp:coreProperties>
</file>